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2B47D" w14:textId="4C55806F" w:rsidR="00381AC0" w:rsidRPr="00381AC0" w:rsidRDefault="00381AC0" w:rsidP="00381AC0">
      <w:pPr>
        <w:jc w:val="center"/>
        <w:rPr>
          <w:rFonts w:ascii="宋体" w:hAnsi="宋体"/>
          <w:b/>
          <w:bCs/>
          <w:sz w:val="32"/>
          <w:szCs w:val="40"/>
        </w:rPr>
      </w:pPr>
      <w:r w:rsidRPr="00381AC0">
        <w:rPr>
          <w:rFonts w:ascii="宋体" w:hAnsi="宋体" w:hint="eastAsia"/>
          <w:b/>
          <w:bCs/>
          <w:sz w:val="32"/>
          <w:szCs w:val="40"/>
        </w:rPr>
        <w:t>关于加强政务诚信体系建设</w:t>
      </w:r>
      <w:r>
        <w:rPr>
          <w:rFonts w:ascii="宋体" w:hAnsi="宋体" w:hint="eastAsia"/>
          <w:b/>
          <w:bCs/>
          <w:sz w:val="32"/>
          <w:szCs w:val="40"/>
        </w:rPr>
        <w:t>“</w:t>
      </w:r>
      <w:r w:rsidRPr="00381AC0">
        <w:rPr>
          <w:rFonts w:ascii="宋体" w:hAnsi="宋体" w:hint="eastAsia"/>
          <w:b/>
          <w:bCs/>
          <w:sz w:val="32"/>
          <w:szCs w:val="40"/>
        </w:rPr>
        <w:t>意见</w:t>
      </w:r>
      <w:r>
        <w:rPr>
          <w:rFonts w:ascii="宋体" w:hAnsi="宋体" w:hint="eastAsia"/>
          <w:b/>
          <w:bCs/>
          <w:sz w:val="32"/>
          <w:szCs w:val="40"/>
        </w:rPr>
        <w:t>”</w:t>
      </w:r>
      <w:r w:rsidR="00763D7C">
        <w:rPr>
          <w:rFonts w:ascii="宋体" w:hAnsi="宋体" w:hint="eastAsia"/>
          <w:b/>
          <w:bCs/>
          <w:sz w:val="32"/>
          <w:szCs w:val="40"/>
        </w:rPr>
        <w:t>（草稿）</w:t>
      </w:r>
    </w:p>
    <w:p w14:paraId="1DF4BC09" w14:textId="77777777" w:rsidR="00E7225C" w:rsidRPr="00381AC0" w:rsidRDefault="00E7225C" w:rsidP="00E7225C">
      <w:pPr>
        <w:pStyle w:val="a7"/>
        <w:widowControl/>
        <w:spacing w:line="560" w:lineRule="exact"/>
        <w:rPr>
          <w:rFonts w:ascii="仿宋" w:eastAsia="仿宋" w:hAnsi="仿宋" w:cs="宋体"/>
          <w:b/>
          <w:color w:val="000000" w:themeColor="text1"/>
          <w:sz w:val="28"/>
          <w:szCs w:val="28"/>
        </w:rPr>
      </w:pPr>
    </w:p>
    <w:p w14:paraId="73AB51D5" w14:textId="24ED48D4" w:rsidR="00787054" w:rsidRPr="00C03D06" w:rsidRDefault="00E7225C" w:rsidP="00A27BAE">
      <w:pPr>
        <w:spacing w:line="600" w:lineRule="exact"/>
        <w:ind w:firstLineChars="200" w:firstLine="560"/>
        <w:jc w:val="left"/>
        <w:rPr>
          <w:rFonts w:ascii="仿宋" w:eastAsia="仿宋" w:hAnsi="仿宋"/>
          <w:color w:val="000000"/>
          <w:sz w:val="28"/>
          <w:szCs w:val="28"/>
        </w:rPr>
      </w:pPr>
      <w:r w:rsidRPr="00B363EE">
        <w:rPr>
          <w:rFonts w:ascii="仿宋" w:eastAsia="仿宋" w:hAnsi="仿宋" w:hint="eastAsia"/>
          <w:color w:val="000000" w:themeColor="text1"/>
          <w:sz w:val="28"/>
          <w:szCs w:val="28"/>
        </w:rPr>
        <w:t>为加强北京健康管理协会政务诚信建设，保障健康体检行业规范有序进行，深入学习贯彻习近平总书记关于加强政务诚信建设系列重要讲话和对北京工作的重要指示精神</w:t>
      </w:r>
      <w:r w:rsidR="0010536F">
        <w:rPr>
          <w:rFonts w:ascii="仿宋" w:eastAsia="仿宋" w:hAnsi="仿宋" w:hint="eastAsia"/>
          <w:color w:val="000000" w:themeColor="text1"/>
          <w:sz w:val="28"/>
          <w:szCs w:val="28"/>
        </w:rPr>
        <w:t>，</w:t>
      </w:r>
      <w:r w:rsidR="0010536F">
        <w:rPr>
          <w:rFonts w:ascii="仿宋" w:eastAsia="仿宋" w:hAnsi="仿宋" w:hint="eastAsia"/>
          <w:color w:val="000000" w:themeColor="text1"/>
          <w:sz w:val="28"/>
          <w:szCs w:val="28"/>
        </w:rPr>
        <w:t>依据</w:t>
      </w:r>
      <w:r w:rsidR="0010536F" w:rsidRPr="0010536F">
        <w:rPr>
          <w:rStyle w:val="a8"/>
          <w:rFonts w:ascii="仿宋" w:eastAsia="仿宋" w:hAnsi="仿宋" w:hint="eastAsia"/>
          <w:color w:val="000000"/>
          <w:sz w:val="28"/>
          <w:szCs w:val="28"/>
        </w:rPr>
        <w:t>国</w:t>
      </w:r>
      <w:r w:rsidR="0010536F" w:rsidRPr="00C03D06">
        <w:rPr>
          <w:rStyle w:val="a8"/>
          <w:rFonts w:ascii="仿宋" w:eastAsia="仿宋" w:hAnsi="仿宋" w:hint="eastAsia"/>
          <w:color w:val="000000"/>
          <w:sz w:val="28"/>
          <w:szCs w:val="28"/>
        </w:rPr>
        <w:t>务院关于建立完善守信联合激励和失信联合惩戒制度加快推进社会诚信建设的指导意见</w:t>
      </w:r>
      <w:r w:rsidR="0010536F" w:rsidRPr="00C03D06">
        <w:rPr>
          <w:rFonts w:ascii="仿宋" w:eastAsia="仿宋" w:hAnsi="仿宋" w:hint="eastAsia"/>
          <w:color w:val="000000"/>
          <w:sz w:val="28"/>
          <w:szCs w:val="28"/>
        </w:rPr>
        <w:t>国发〔2016〕33号</w:t>
      </w:r>
      <w:r w:rsidR="00C03D06" w:rsidRPr="00C03D06">
        <w:rPr>
          <w:rFonts w:ascii="仿宋" w:eastAsia="仿宋" w:hAnsi="仿宋" w:hint="eastAsia"/>
          <w:color w:val="000000"/>
          <w:sz w:val="28"/>
          <w:szCs w:val="28"/>
        </w:rPr>
        <w:t>、</w:t>
      </w:r>
      <w:r w:rsidR="00C03D06" w:rsidRPr="00C03D06">
        <w:rPr>
          <w:rFonts w:ascii="仿宋" w:eastAsia="仿宋" w:hAnsi="仿宋" w:cs="宋体" w:hint="eastAsia"/>
          <w:kern w:val="36"/>
          <w:sz w:val="28"/>
          <w:szCs w:val="28"/>
        </w:rPr>
        <w:t>中共中央办公厅　国务院办公厅印发《关于加快推进失信被执行人信用监督、警示和惩戒机制建设的意见》 、</w:t>
      </w:r>
      <w:r w:rsidR="00C03D06" w:rsidRPr="00C03D06">
        <w:rPr>
          <w:rFonts w:ascii="仿宋" w:eastAsia="仿宋" w:hAnsi="仿宋" w:cs="宋体" w:hint="eastAsia"/>
          <w:b/>
          <w:color w:val="333333"/>
          <w:sz w:val="28"/>
          <w:szCs w:val="28"/>
        </w:rPr>
        <w:t>国务院关于加强政务诚信建设的指导意见</w:t>
      </w:r>
      <w:r w:rsidR="00C03D06" w:rsidRPr="00C03D06">
        <w:rPr>
          <w:rFonts w:ascii="仿宋" w:eastAsia="仿宋" w:hAnsi="仿宋" w:cs="楷体"/>
          <w:color w:val="333333"/>
          <w:sz w:val="28"/>
          <w:szCs w:val="28"/>
        </w:rPr>
        <w:t>国发〔2016〕76号</w:t>
      </w:r>
      <w:r w:rsidR="00C03D06" w:rsidRPr="00C03D06">
        <w:rPr>
          <w:rFonts w:ascii="仿宋" w:eastAsia="仿宋" w:hAnsi="仿宋" w:cs="楷体" w:hint="eastAsia"/>
          <w:color w:val="333333"/>
          <w:sz w:val="28"/>
          <w:szCs w:val="28"/>
        </w:rPr>
        <w:t>、</w:t>
      </w:r>
      <w:r w:rsidR="00C03D06" w:rsidRPr="00C03D06">
        <w:rPr>
          <w:rFonts w:ascii="仿宋" w:eastAsia="仿宋" w:hAnsi="仿宋" w:cs="宋体" w:hint="eastAsia"/>
          <w:b/>
          <w:color w:val="333333"/>
          <w:sz w:val="28"/>
          <w:szCs w:val="28"/>
        </w:rPr>
        <w:t>国务院办公厅关于加强个人诚信体系建设的指导意见</w:t>
      </w:r>
      <w:r w:rsidR="00C03D06" w:rsidRPr="00C03D06">
        <w:rPr>
          <w:rFonts w:ascii="仿宋" w:eastAsia="仿宋" w:hAnsi="仿宋" w:cs="楷体"/>
          <w:color w:val="333333"/>
          <w:sz w:val="28"/>
          <w:szCs w:val="28"/>
        </w:rPr>
        <w:t>国办发〔2016〕98号</w:t>
      </w:r>
      <w:r w:rsidR="00C03D06" w:rsidRPr="00C03D06">
        <w:rPr>
          <w:rFonts w:ascii="仿宋" w:eastAsia="仿宋" w:hAnsi="仿宋" w:cs="楷体" w:hint="eastAsia"/>
          <w:color w:val="333333"/>
          <w:sz w:val="28"/>
          <w:szCs w:val="28"/>
        </w:rPr>
        <w:t>、</w:t>
      </w:r>
      <w:r w:rsidR="00C03D06" w:rsidRPr="00C03D06">
        <w:rPr>
          <w:rFonts w:ascii="仿宋" w:eastAsia="仿宋" w:hAnsi="仿宋" w:cs="方正小标宋简体" w:hint="eastAsia"/>
          <w:spacing w:val="-6"/>
          <w:sz w:val="28"/>
          <w:szCs w:val="28"/>
        </w:rPr>
        <w:t>北京市加强企业信用体系建设第二阶段行动计划（2016—2018年）、</w:t>
      </w:r>
      <w:r w:rsidR="00C03D06" w:rsidRPr="00C03D06">
        <w:rPr>
          <w:rFonts w:ascii="仿宋" w:eastAsia="仿宋" w:hAnsi="仿宋" w:hint="eastAsia"/>
          <w:b/>
          <w:bCs/>
          <w:smallCaps/>
          <w:color w:val="000000"/>
          <w:sz w:val="28"/>
          <w:szCs w:val="28"/>
        </w:rPr>
        <w:t>北京市人民政府令（第280号）</w:t>
      </w:r>
      <w:r w:rsidR="00C03D06">
        <w:rPr>
          <w:rFonts w:ascii="仿宋" w:eastAsia="仿宋" w:hAnsi="仿宋" w:hint="eastAsia"/>
          <w:b/>
          <w:bCs/>
          <w:smallCaps/>
          <w:color w:val="000000"/>
          <w:sz w:val="28"/>
          <w:szCs w:val="28"/>
        </w:rPr>
        <w:t>、</w:t>
      </w:r>
      <w:r w:rsidR="00C03D06" w:rsidRPr="00C03D06">
        <w:rPr>
          <w:rFonts w:ascii="仿宋" w:eastAsia="仿宋" w:hAnsi="仿宋" w:hint="eastAsia"/>
          <w:color w:val="000000"/>
          <w:sz w:val="28"/>
          <w:szCs w:val="28"/>
        </w:rPr>
        <w:t>北京市工商行政管理局等部门关于印发</w:t>
      </w:r>
      <w:r w:rsidR="00C03D06" w:rsidRPr="00C03D06">
        <w:rPr>
          <w:rFonts w:ascii="仿宋" w:eastAsia="仿宋" w:hAnsi="仿宋" w:hint="eastAsia"/>
          <w:color w:val="000000"/>
          <w:spacing w:val="-8"/>
          <w:sz w:val="28"/>
          <w:szCs w:val="28"/>
        </w:rPr>
        <w:t>《北京市失信企业协同监管和联合惩戒合作备忘录</w:t>
      </w:r>
      <w:r w:rsidR="00C03D06" w:rsidRPr="00C03D06">
        <w:rPr>
          <w:rFonts w:ascii="仿宋" w:eastAsia="仿宋" w:hAnsi="仿宋" w:hint="eastAsia"/>
          <w:color w:val="000000"/>
          <w:sz w:val="28"/>
          <w:szCs w:val="28"/>
        </w:rPr>
        <w:t>（</w:t>
      </w:r>
      <w:r w:rsidR="00C03D06" w:rsidRPr="00C03D06">
        <w:rPr>
          <w:rFonts w:ascii="仿宋" w:eastAsia="仿宋" w:hAnsi="仿宋"/>
          <w:color w:val="000000"/>
          <w:sz w:val="28"/>
          <w:szCs w:val="28"/>
        </w:rPr>
        <w:t>2016年版）》的通知</w:t>
      </w:r>
      <w:r w:rsidRPr="00B363EE">
        <w:rPr>
          <w:rFonts w:ascii="仿宋" w:eastAsia="仿宋" w:hAnsi="仿宋" w:hint="eastAsia"/>
          <w:color w:val="000000" w:themeColor="text1"/>
          <w:sz w:val="28"/>
          <w:szCs w:val="28"/>
        </w:rPr>
        <w:t>，</w:t>
      </w:r>
      <w:r w:rsidR="00A27BAE">
        <w:rPr>
          <w:rFonts w:ascii="仿宋" w:eastAsia="仿宋" w:hAnsi="仿宋" w:hint="eastAsia"/>
          <w:color w:val="000000" w:themeColor="text1"/>
          <w:sz w:val="28"/>
          <w:szCs w:val="28"/>
        </w:rPr>
        <w:t>牢固</w:t>
      </w:r>
      <w:r w:rsidRPr="00B363EE">
        <w:rPr>
          <w:rFonts w:ascii="仿宋" w:eastAsia="仿宋" w:hAnsi="仿宋" w:hint="eastAsia"/>
          <w:color w:val="000000" w:themeColor="text1"/>
          <w:sz w:val="28"/>
          <w:szCs w:val="28"/>
        </w:rPr>
        <w:t>树立新发展理念，</w:t>
      </w:r>
      <w:r w:rsidR="00BB5508">
        <w:rPr>
          <w:rFonts w:ascii="仿宋" w:eastAsia="仿宋" w:hAnsi="仿宋" w:hint="eastAsia"/>
          <w:color w:val="000000" w:themeColor="text1"/>
          <w:sz w:val="28"/>
          <w:szCs w:val="28"/>
        </w:rPr>
        <w:t>按照培育和践行社会主义核心价值观，推进信用信息共享、</w:t>
      </w:r>
      <w:bookmarkStart w:id="0" w:name="_GoBack"/>
      <w:bookmarkEnd w:id="0"/>
      <w:r w:rsidRPr="00B363EE">
        <w:rPr>
          <w:rFonts w:ascii="仿宋" w:eastAsia="仿宋" w:hAnsi="仿宋" w:hint="eastAsia"/>
          <w:color w:val="000000" w:themeColor="text1"/>
          <w:sz w:val="28"/>
          <w:szCs w:val="28"/>
        </w:rPr>
        <w:t>坚持和强化首都城市战略定位，围绕使市场在资源配置中起决定性作用和更好发挥政府作用，充分发挥企业信用信息在加强事中事后监管中的主导作用，为首都经济社会持续健康发展创造良好的信用环境。</w:t>
      </w:r>
      <w:r w:rsidRPr="00B363EE">
        <w:rPr>
          <w:rFonts w:ascii="仿宋" w:eastAsia="仿宋" w:hAnsi="仿宋" w:cs="宋体" w:hint="eastAsia"/>
          <w:color w:val="000000" w:themeColor="text1"/>
          <w:kern w:val="0"/>
          <w:sz w:val="28"/>
          <w:szCs w:val="28"/>
        </w:rPr>
        <w:t>医疗机构是健康体检质量管理的责任主体，在健康体检行业内大力宣传相关法律法规及政策措施，</w:t>
      </w:r>
      <w:r w:rsidRPr="00B363EE">
        <w:rPr>
          <w:rFonts w:ascii="仿宋" w:eastAsia="仿宋" w:hAnsi="仿宋" w:cs="仿宋_GB2312" w:hint="eastAsia"/>
          <w:color w:val="000000" w:themeColor="text1"/>
          <w:sz w:val="28"/>
          <w:szCs w:val="28"/>
        </w:rPr>
        <w:t>开展诚信普及教育活动，</w:t>
      </w:r>
      <w:r w:rsidRPr="00B363EE">
        <w:rPr>
          <w:rFonts w:ascii="仿宋" w:eastAsia="仿宋" w:hAnsi="仿宋" w:cs="宋体" w:hint="eastAsia"/>
          <w:color w:val="000000" w:themeColor="text1"/>
          <w:kern w:val="0"/>
          <w:sz w:val="28"/>
          <w:szCs w:val="28"/>
        </w:rPr>
        <w:t>提高行业知信、重信、用信的意识，努力营造诚信和谐的体检行业诚信氛围。</w:t>
      </w:r>
    </w:p>
    <w:p w14:paraId="0BA4C2BB" w14:textId="77777777" w:rsidR="00787054" w:rsidRDefault="00787054" w:rsidP="00787054">
      <w:pPr>
        <w:adjustRightInd w:val="0"/>
        <w:snapToGrid w:val="0"/>
        <w:spacing w:line="560" w:lineRule="exact"/>
        <w:ind w:firstLineChars="200" w:firstLine="560"/>
        <w:rPr>
          <w:rFonts w:ascii="仿宋" w:eastAsia="仿宋" w:hAnsi="仿宋"/>
          <w:color w:val="000000" w:themeColor="text1"/>
          <w:sz w:val="28"/>
          <w:szCs w:val="28"/>
        </w:rPr>
      </w:pPr>
      <w:r>
        <w:rPr>
          <w:rFonts w:ascii="仿宋" w:eastAsia="仿宋" w:hAnsi="仿宋" w:cs="宋体" w:hint="eastAsia"/>
          <w:color w:val="000000" w:themeColor="text1"/>
          <w:kern w:val="0"/>
          <w:sz w:val="28"/>
          <w:szCs w:val="28"/>
        </w:rPr>
        <w:lastRenderedPageBreak/>
        <w:t>依据</w:t>
      </w:r>
      <w:r w:rsidR="00E7225C" w:rsidRPr="00B363EE">
        <w:rPr>
          <w:rFonts w:ascii="仿宋" w:eastAsia="仿宋" w:hAnsi="仿宋" w:cs="宋体"/>
          <w:color w:val="000000" w:themeColor="text1"/>
          <w:kern w:val="0"/>
          <w:sz w:val="28"/>
          <w:szCs w:val="28"/>
        </w:rPr>
        <w:t>卫生部关于印发《健康体检管理暂行规定》的通知</w:t>
      </w:r>
      <w:r w:rsidR="00E7225C" w:rsidRPr="00B363EE">
        <w:rPr>
          <w:rFonts w:ascii="仿宋" w:eastAsia="仿宋" w:hAnsi="仿宋" w:cs="宋体" w:hint="eastAsia"/>
          <w:color w:val="000000" w:themeColor="text1"/>
          <w:kern w:val="0"/>
          <w:sz w:val="28"/>
          <w:szCs w:val="28"/>
        </w:rPr>
        <w:t>（</w:t>
      </w:r>
      <w:r w:rsidR="00E7225C" w:rsidRPr="00B363EE">
        <w:rPr>
          <w:rFonts w:ascii="仿宋" w:eastAsia="仿宋" w:hAnsi="仿宋" w:cs="宋体"/>
          <w:color w:val="000000" w:themeColor="text1"/>
          <w:kern w:val="0"/>
          <w:sz w:val="28"/>
          <w:szCs w:val="28"/>
        </w:rPr>
        <w:t>中华人民共和国国家卫生和计划生育委员会2009-08-21</w:t>
      </w:r>
      <w:r w:rsidR="00E7225C" w:rsidRPr="00B363EE">
        <w:rPr>
          <w:rFonts w:ascii="Calibri" w:eastAsia="仿宋" w:hAnsi="Calibri" w:cs="Calibri"/>
          <w:color w:val="000000" w:themeColor="text1"/>
          <w:kern w:val="0"/>
          <w:sz w:val="28"/>
          <w:szCs w:val="28"/>
        </w:rPr>
        <w:t> </w:t>
      </w:r>
      <w:r w:rsidR="00E7225C" w:rsidRPr="00B363EE">
        <w:rPr>
          <w:rFonts w:ascii="仿宋" w:eastAsia="仿宋" w:hAnsi="仿宋" w:cs="宋体" w:hint="eastAsia"/>
          <w:color w:val="000000" w:themeColor="text1"/>
          <w:kern w:val="0"/>
          <w:sz w:val="28"/>
          <w:szCs w:val="28"/>
        </w:rPr>
        <w:t>）卫医政发〔2009〕77号、北京市卫生和</w:t>
      </w:r>
      <w:r w:rsidR="00E43EC6">
        <w:rPr>
          <w:rFonts w:ascii="仿宋" w:eastAsia="仿宋" w:hAnsi="仿宋" w:cs="宋体" w:hint="eastAsia"/>
          <w:color w:val="000000" w:themeColor="text1"/>
          <w:kern w:val="0"/>
          <w:sz w:val="28"/>
          <w:szCs w:val="28"/>
        </w:rPr>
        <w:t>计划生育</w:t>
      </w:r>
      <w:r w:rsidR="00E7225C" w:rsidRPr="00B363EE">
        <w:rPr>
          <w:rFonts w:ascii="仿宋" w:eastAsia="仿宋" w:hAnsi="仿宋" w:cs="宋体" w:hint="eastAsia"/>
          <w:color w:val="000000" w:themeColor="text1"/>
          <w:kern w:val="0"/>
          <w:sz w:val="28"/>
          <w:szCs w:val="28"/>
        </w:rPr>
        <w:t>委员会关于印发《北京市健康体检报告基本规范（试行）》的通知京卫医〔2018〕22号制定的行规行约、自律规范，开展行业信用评价工作，提升行业整体信用水平。</w:t>
      </w:r>
      <w:r w:rsidR="00E7225C" w:rsidRPr="00B363EE">
        <w:rPr>
          <w:rFonts w:ascii="仿宋" w:eastAsia="仿宋" w:hAnsi="仿宋" w:hint="eastAsia"/>
          <w:color w:val="000000" w:themeColor="text1"/>
          <w:sz w:val="28"/>
          <w:szCs w:val="28"/>
        </w:rPr>
        <w:t>落实加强和创新行业治理要求，加快推进行业信用体系建设，加强信用信息公开和共享，依法依规运用信用激励和约束手段，促进医疗责任主体依法诚信经营，维护市场正常秩序，营造诚信行业环境。</w:t>
      </w:r>
    </w:p>
    <w:p w14:paraId="5103D232" w14:textId="07FFA37C" w:rsidR="00E7225C" w:rsidRPr="00B363EE" w:rsidRDefault="00E7225C" w:rsidP="00787054">
      <w:pPr>
        <w:adjustRightInd w:val="0"/>
        <w:snapToGrid w:val="0"/>
        <w:spacing w:line="560" w:lineRule="exact"/>
        <w:ind w:firstLineChars="200" w:firstLine="560"/>
        <w:rPr>
          <w:rFonts w:ascii="仿宋" w:eastAsia="仿宋" w:hAnsi="仿宋"/>
          <w:color w:val="000000" w:themeColor="text1"/>
          <w:sz w:val="28"/>
          <w:szCs w:val="28"/>
        </w:rPr>
      </w:pPr>
      <w:r w:rsidRPr="00B363EE">
        <w:rPr>
          <w:rFonts w:ascii="仿宋" w:eastAsia="仿宋" w:hAnsi="仿宋" w:hint="eastAsia"/>
          <w:color w:val="000000" w:themeColor="text1"/>
          <w:sz w:val="28"/>
          <w:szCs w:val="28"/>
        </w:rPr>
        <w:t>充分运用信用激励和约束手段，加大对诚信主体激励和对严重失信主体惩戒力度，让守信者受益、失信者受限。严格依照法律法规和政策规定，科学界定守信和失信行为，开展守信联合激励和失信联合惩戒。引导企业主动发布综合信用承诺或产品服务质量等专项承诺，开展产品服务标准等自我声明公开，接受行业监督，形成企业争做诚信模范的良好氛围。对诚信市场主体给予优惠和便利，使守信者在市场中获得更多机会和实惠</w:t>
      </w:r>
      <w:r w:rsidR="00787054">
        <w:rPr>
          <w:rFonts w:ascii="仿宋" w:eastAsia="仿宋" w:hAnsi="仿宋" w:hint="eastAsia"/>
          <w:color w:val="000000" w:themeColor="text1"/>
          <w:sz w:val="28"/>
          <w:szCs w:val="28"/>
        </w:rPr>
        <w:t>，</w:t>
      </w:r>
      <w:r w:rsidRPr="00B363EE">
        <w:rPr>
          <w:rFonts w:ascii="仿宋" w:eastAsia="仿宋" w:hAnsi="仿宋" w:hint="eastAsia"/>
          <w:color w:val="000000" w:themeColor="text1"/>
          <w:sz w:val="28"/>
          <w:szCs w:val="28"/>
        </w:rPr>
        <w:t>推动行业加强诚信建设和自律。</w:t>
      </w:r>
      <w:r w:rsidRPr="00B363EE">
        <w:rPr>
          <w:rFonts w:ascii="仿宋" w:eastAsia="仿宋" w:hAnsi="仿宋" w:hint="eastAsia"/>
          <w:color w:val="000000" w:themeColor="text1"/>
          <w:sz w:val="28"/>
          <w:szCs w:val="28"/>
        </w:rPr>
        <w:br/>
        <w:t xml:space="preserve"> </w:t>
      </w:r>
      <w:r w:rsidRPr="00B363EE">
        <w:rPr>
          <w:rFonts w:ascii="仿宋" w:eastAsia="仿宋" w:hAnsi="仿宋"/>
          <w:color w:val="000000" w:themeColor="text1"/>
          <w:sz w:val="28"/>
          <w:szCs w:val="28"/>
        </w:rPr>
        <w:t xml:space="preserve">    </w:t>
      </w:r>
      <w:r w:rsidRPr="00B363EE">
        <w:rPr>
          <w:rFonts w:ascii="仿宋" w:eastAsia="仿宋" w:hAnsi="仿宋" w:hint="eastAsia"/>
          <w:color w:val="000000" w:themeColor="text1"/>
          <w:sz w:val="28"/>
          <w:szCs w:val="28"/>
        </w:rPr>
        <w:t>建立健全行业自律公约和职业道德准则，推动行业信用建设。引导行业协会商会完善行业内部信用机制，充分发挥行业组织作用。建立完善失信举报制度，鼓励公众举报企业严重失信行为，对举报人信息严格保密。</w:t>
      </w:r>
    </w:p>
    <w:p w14:paraId="1AA3AB12" w14:textId="77777777" w:rsidR="00E7225C" w:rsidRPr="00B363EE" w:rsidRDefault="00E7225C" w:rsidP="00E7225C">
      <w:pPr>
        <w:pStyle w:val="a7"/>
        <w:spacing w:line="346" w:lineRule="atLeast"/>
        <w:ind w:firstLineChars="200" w:firstLine="560"/>
        <w:rPr>
          <w:rFonts w:ascii="仿宋" w:eastAsia="仿宋" w:hAnsi="仿宋"/>
          <w:color w:val="000000" w:themeColor="text1"/>
          <w:sz w:val="28"/>
          <w:szCs w:val="28"/>
        </w:rPr>
      </w:pPr>
      <w:r w:rsidRPr="00B363EE">
        <w:rPr>
          <w:rFonts w:ascii="仿宋" w:eastAsia="仿宋" w:hAnsi="仿宋" w:cstheme="minorBidi" w:hint="eastAsia"/>
          <w:color w:val="000000" w:themeColor="text1"/>
          <w:kern w:val="2"/>
          <w:sz w:val="28"/>
          <w:szCs w:val="28"/>
        </w:rPr>
        <w:t>规范信用红黑名单制度，</w:t>
      </w:r>
      <w:r w:rsidRPr="00B363EE">
        <w:rPr>
          <w:rFonts w:ascii="仿宋" w:eastAsia="仿宋" w:hAnsi="仿宋" w:hint="eastAsia"/>
          <w:color w:val="000000" w:themeColor="text1"/>
          <w:sz w:val="28"/>
          <w:szCs w:val="28"/>
        </w:rPr>
        <w:t>不断完善诚信典型“红名单”制度和严重失信主体“黑名单”制度，依法依规规范各领域红黑名单产生和发布行为，建立健全退出机制。在保证独</w:t>
      </w:r>
      <w:r w:rsidRPr="00B363EE">
        <w:rPr>
          <w:rFonts w:ascii="仿宋" w:eastAsia="仿宋" w:hAnsi="仿宋" w:hint="eastAsia"/>
          <w:color w:val="000000" w:themeColor="text1"/>
          <w:sz w:val="28"/>
          <w:szCs w:val="28"/>
        </w:rPr>
        <w:lastRenderedPageBreak/>
        <w:t>立、公正、客观前提下，鼓励有关群众团体、金融机构、征信机构、评级机构、行业协会商会等将产生的“红名单”和“黑名单”。</w:t>
      </w:r>
    </w:p>
    <w:p w14:paraId="13E6A264" w14:textId="77777777" w:rsidR="00E7225C" w:rsidRPr="00B363EE" w:rsidRDefault="00E7225C" w:rsidP="00787054">
      <w:pPr>
        <w:pStyle w:val="a7"/>
        <w:spacing w:line="346" w:lineRule="atLeast"/>
        <w:ind w:firstLineChars="200" w:firstLine="560"/>
        <w:rPr>
          <w:rFonts w:ascii="仿宋" w:eastAsia="仿宋" w:hAnsi="仿宋"/>
          <w:color w:val="000000" w:themeColor="text1"/>
          <w:sz w:val="28"/>
          <w:szCs w:val="28"/>
        </w:rPr>
      </w:pPr>
      <w:r w:rsidRPr="00B363EE">
        <w:rPr>
          <w:rFonts w:ascii="仿宋" w:eastAsia="仿宋" w:hAnsi="仿宋" w:hint="eastAsia"/>
          <w:color w:val="000000" w:themeColor="text1"/>
          <w:sz w:val="28"/>
          <w:szCs w:val="28"/>
        </w:rPr>
        <w:t>加强法规制度和诚信文化建设，完善相关法律法规及标准规范。加强诚信教育、诚信文化建设和督促检查。认真贯彻落实本“意见”并制定具体实施方案，切实加强组织领导，落实工作机构。</w:t>
      </w:r>
    </w:p>
    <w:p w14:paraId="11F0896F" w14:textId="7AABC75D" w:rsidR="00E7225C" w:rsidRPr="00B363EE" w:rsidRDefault="00E7225C" w:rsidP="00E7225C">
      <w:pPr>
        <w:ind w:firstLineChars="200" w:firstLine="560"/>
        <w:rPr>
          <w:rFonts w:ascii="仿宋" w:eastAsia="仿宋" w:hAnsi="仿宋" w:cs="宋体"/>
          <w:color w:val="000000" w:themeColor="text1"/>
          <w:sz w:val="28"/>
          <w:szCs w:val="28"/>
        </w:rPr>
      </w:pPr>
      <w:r w:rsidRPr="00B363EE">
        <w:rPr>
          <w:rFonts w:ascii="仿宋" w:eastAsia="仿宋" w:hAnsi="仿宋" w:cs="宋体" w:hint="eastAsia"/>
          <w:color w:val="000000" w:themeColor="text1"/>
          <w:sz w:val="28"/>
          <w:szCs w:val="28"/>
        </w:rPr>
        <w:t>让诚信成为全行业共同的价值追求和行为准则，积极营造“守信光荣、失信可耻”的良好行业氛围。加强组织领导，强化</w:t>
      </w:r>
      <w:r w:rsidR="00787054">
        <w:rPr>
          <w:rFonts w:ascii="仿宋" w:eastAsia="仿宋" w:hAnsi="仿宋" w:cs="宋体" w:hint="eastAsia"/>
          <w:color w:val="000000" w:themeColor="text1"/>
          <w:sz w:val="28"/>
          <w:szCs w:val="28"/>
        </w:rPr>
        <w:t>主体</w:t>
      </w:r>
      <w:r w:rsidRPr="00B363EE">
        <w:rPr>
          <w:rFonts w:ascii="仿宋" w:eastAsia="仿宋" w:hAnsi="仿宋" w:cs="宋体" w:hint="eastAsia"/>
          <w:color w:val="000000" w:themeColor="text1"/>
          <w:sz w:val="28"/>
          <w:szCs w:val="28"/>
        </w:rPr>
        <w:t>责任。确保责任到人、工作到人、落实到人。</w:t>
      </w:r>
    </w:p>
    <w:p w14:paraId="1FC2CCD6" w14:textId="42D99D1F" w:rsidR="00773FE9" w:rsidRPr="00787054" w:rsidRDefault="00BB70D7" w:rsidP="00787054">
      <w:pPr>
        <w:ind w:firstLineChars="200" w:firstLine="560"/>
        <w:rPr>
          <w:rFonts w:ascii="仿宋" w:eastAsia="仿宋" w:hAnsi="仿宋" w:cs="宋体"/>
          <w:color w:val="000000" w:themeColor="text1"/>
          <w:sz w:val="28"/>
          <w:szCs w:val="28"/>
        </w:rPr>
      </w:pPr>
      <w:r w:rsidRPr="00B363EE">
        <w:rPr>
          <w:rFonts w:ascii="仿宋" w:eastAsia="仿宋" w:hAnsi="仿宋" w:cs="宋体" w:hint="eastAsia"/>
          <w:color w:val="000000" w:themeColor="text1"/>
          <w:sz w:val="28"/>
          <w:szCs w:val="28"/>
        </w:rPr>
        <w:t>加强政务诚信建设，是落实“四个全面”战略布局的关键环节</w:t>
      </w:r>
      <w:r w:rsidRPr="00B363EE">
        <w:rPr>
          <w:rFonts w:ascii="仿宋" w:eastAsia="仿宋" w:hAnsi="仿宋" w:hint="eastAsia"/>
          <w:color w:val="000000" w:themeColor="text1"/>
          <w:sz w:val="28"/>
          <w:szCs w:val="28"/>
        </w:rPr>
        <w:t>，</w:t>
      </w:r>
      <w:r w:rsidRPr="00B363EE">
        <w:rPr>
          <w:rFonts w:ascii="仿宋" w:eastAsia="仿宋" w:hAnsi="仿宋" w:cs="宋体" w:hint="eastAsia"/>
          <w:color w:val="000000" w:themeColor="text1"/>
          <w:sz w:val="28"/>
          <w:szCs w:val="28"/>
        </w:rPr>
        <w:t>阳光行政作为推进政务诚信建设的重要手段，将危害群众利益、损害市场公平交易等政务失信行为作为治理重点，</w:t>
      </w:r>
      <w:r w:rsidR="00773FE9" w:rsidRPr="00B363EE">
        <w:rPr>
          <w:rFonts w:ascii="仿宋" w:eastAsia="仿宋" w:hAnsi="仿宋" w:cs="宋体" w:hint="eastAsia"/>
          <w:color w:val="000000" w:themeColor="text1"/>
          <w:kern w:val="0"/>
          <w:sz w:val="28"/>
          <w:szCs w:val="28"/>
        </w:rPr>
        <w:t>营造向上向善、诚信互助的行业风尚</w:t>
      </w:r>
      <w:r w:rsidR="003329B5">
        <w:rPr>
          <w:rFonts w:ascii="仿宋" w:eastAsia="仿宋" w:hAnsi="仿宋" w:cs="宋体" w:hint="eastAsia"/>
          <w:color w:val="000000" w:themeColor="text1"/>
          <w:kern w:val="0"/>
          <w:sz w:val="28"/>
          <w:szCs w:val="28"/>
        </w:rPr>
        <w:t>，</w:t>
      </w:r>
      <w:r w:rsidR="004E59CA" w:rsidRPr="00B363EE">
        <w:rPr>
          <w:rFonts w:ascii="仿宋" w:eastAsia="仿宋" w:hAnsi="仿宋" w:cs="宋体" w:hint="eastAsia"/>
          <w:color w:val="000000" w:themeColor="text1"/>
          <w:kern w:val="0"/>
          <w:sz w:val="28"/>
          <w:szCs w:val="28"/>
        </w:rPr>
        <w:t>诚实守信成为全行业共同的价值追求和行为准则</w:t>
      </w:r>
      <w:r w:rsidR="004E59CA">
        <w:rPr>
          <w:rFonts w:ascii="仿宋" w:eastAsia="仿宋" w:hAnsi="仿宋" w:cs="宋体" w:hint="eastAsia"/>
          <w:color w:val="000000" w:themeColor="text1"/>
          <w:kern w:val="0"/>
          <w:sz w:val="28"/>
          <w:szCs w:val="28"/>
        </w:rPr>
        <w:t>。</w:t>
      </w:r>
    </w:p>
    <w:p w14:paraId="55409F98" w14:textId="6D3A6532" w:rsidR="00247291" w:rsidRPr="001F3384" w:rsidRDefault="00A103C9" w:rsidP="00773FE9">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（任职资格限制）</w:t>
      </w:r>
    </w:p>
    <w:p w14:paraId="72351F09"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1．担任国企高管限制。失信被执行人为个人的，限制其担任国有独资公司、国有资本控股公司董事、监事、高级管理人员，以及国有资本参股公司国有股权方派出或推荐的董事、监事、高级管理人员；已担任相关职务的，按照有关程序依法免去其职务。</w:t>
      </w:r>
    </w:p>
    <w:p w14:paraId="7AF484A4"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lastRenderedPageBreak/>
        <w:t>2．担任事业单位法定代表人限制。失信被执行人为个人的，限制其登记为事业单位法定代表人。</w:t>
      </w:r>
    </w:p>
    <w:p w14:paraId="119188D5"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3．担任行业组织负责人限制。失信被执行人为个人的，限制其登记或备案为行业组织负责人。</w:t>
      </w:r>
    </w:p>
    <w:p w14:paraId="173B1398"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4.入党或党员的特别限制。将严格遵守法律、履行生效法律文书确定的义务情况，作为申请加入中国共产党、预备党员转为正式党员以及党员评先、评优、晋职晋级的重要参考。</w:t>
      </w:r>
    </w:p>
    <w:p w14:paraId="506B7B3F"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5．担任党代表、人大代表和政协委员限制。失信被执行人为个人的，不作为组织推荐的各级党代会代表、各级人大代表和政协委员候选人。</w:t>
      </w:r>
    </w:p>
    <w:p w14:paraId="4663EF3C" w14:textId="77777777"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6．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14:paraId="02DDB85A" w14:textId="1DEA449D" w:rsidR="00247291" w:rsidRPr="001F3384" w:rsidRDefault="00247291" w:rsidP="00247291">
      <w:pPr>
        <w:widowControl/>
        <w:shd w:val="clear" w:color="auto" w:fill="FFFFFF"/>
        <w:spacing w:before="225" w:line="450" w:lineRule="atLeast"/>
        <w:ind w:firstLine="480"/>
        <w:jc w:val="left"/>
        <w:rPr>
          <w:rFonts w:ascii="仿宋" w:eastAsia="仿宋" w:hAnsi="仿宋" w:cs="宋体"/>
          <w:color w:val="FF0000"/>
          <w:kern w:val="0"/>
          <w:sz w:val="28"/>
          <w:szCs w:val="28"/>
        </w:rPr>
      </w:pPr>
      <w:r w:rsidRPr="001F3384">
        <w:rPr>
          <w:rFonts w:ascii="仿宋" w:eastAsia="仿宋" w:hAnsi="仿宋" w:cs="宋体" w:hint="eastAsia"/>
          <w:color w:val="FF0000"/>
          <w:kern w:val="0"/>
          <w:sz w:val="28"/>
          <w:szCs w:val="28"/>
        </w:rPr>
        <w:t>7．子女就读高收费学校限制。限制失信被执行人及失信被执行人的法定代表人、主要负责人、实际控制人、影响债</w:t>
      </w:r>
      <w:r w:rsidRPr="001F3384">
        <w:rPr>
          <w:rFonts w:ascii="仿宋" w:eastAsia="仿宋" w:hAnsi="仿宋" w:cs="宋体" w:hint="eastAsia"/>
          <w:color w:val="FF0000"/>
          <w:kern w:val="0"/>
          <w:sz w:val="28"/>
          <w:szCs w:val="28"/>
        </w:rPr>
        <w:lastRenderedPageBreak/>
        <w:t>务履行的直接责任人员以其财产支付子女入学就读高收费私立学校。</w:t>
      </w:r>
    </w:p>
    <w:p w14:paraId="3F57060A" w14:textId="57BE077D" w:rsidR="001F3384" w:rsidRDefault="001F3384" w:rsidP="00247291">
      <w:pPr>
        <w:widowControl/>
        <w:shd w:val="clear" w:color="auto" w:fill="FFFFFF"/>
        <w:spacing w:before="225" w:line="450" w:lineRule="atLeast"/>
        <w:ind w:firstLine="480"/>
        <w:jc w:val="left"/>
        <w:rPr>
          <w:rFonts w:ascii="仿宋" w:eastAsia="仿宋" w:hAnsi="仿宋" w:cs="宋体"/>
          <w:color w:val="000000" w:themeColor="text1"/>
          <w:kern w:val="0"/>
          <w:sz w:val="28"/>
          <w:szCs w:val="28"/>
        </w:rPr>
      </w:pPr>
    </w:p>
    <w:p w14:paraId="303220A0" w14:textId="0E1A6847" w:rsidR="00B87502" w:rsidRDefault="00B87502" w:rsidP="00247291">
      <w:pPr>
        <w:widowControl/>
        <w:shd w:val="clear" w:color="auto" w:fill="FFFFFF"/>
        <w:spacing w:before="225" w:line="450" w:lineRule="atLeast"/>
        <w:ind w:firstLine="480"/>
        <w:jc w:val="left"/>
        <w:rPr>
          <w:rFonts w:ascii="仿宋" w:eastAsia="仿宋" w:hAnsi="仿宋" w:cs="宋体"/>
          <w:color w:val="000000" w:themeColor="text1"/>
          <w:kern w:val="0"/>
          <w:sz w:val="28"/>
          <w:szCs w:val="28"/>
        </w:rPr>
      </w:pPr>
    </w:p>
    <w:p w14:paraId="261F3094" w14:textId="77777777" w:rsidR="00B87502" w:rsidRDefault="00B87502" w:rsidP="00247291">
      <w:pPr>
        <w:widowControl/>
        <w:shd w:val="clear" w:color="auto" w:fill="FFFFFF"/>
        <w:spacing w:before="225" w:line="450" w:lineRule="atLeast"/>
        <w:ind w:firstLine="480"/>
        <w:jc w:val="left"/>
        <w:rPr>
          <w:rFonts w:ascii="仿宋" w:eastAsia="仿宋" w:hAnsi="仿宋" w:cs="宋体" w:hint="eastAsia"/>
          <w:color w:val="000000" w:themeColor="text1"/>
          <w:kern w:val="0"/>
          <w:sz w:val="28"/>
          <w:szCs w:val="28"/>
        </w:rPr>
      </w:pPr>
    </w:p>
    <w:p w14:paraId="04476A67" w14:textId="238C484A" w:rsidR="001F3384" w:rsidRDefault="00B87502" w:rsidP="00B87502">
      <w:pPr>
        <w:widowControl/>
        <w:shd w:val="clear" w:color="auto" w:fill="FFFFFF"/>
        <w:spacing w:before="225" w:line="450" w:lineRule="atLeast"/>
        <w:ind w:firstLine="480"/>
        <w:jc w:val="right"/>
        <w:rPr>
          <w:rFonts w:ascii="仿宋" w:eastAsia="仿宋" w:hAnsi="仿宋" w:cs="宋体" w:hint="eastAsia"/>
          <w:color w:val="000000" w:themeColor="text1"/>
          <w:kern w:val="0"/>
          <w:sz w:val="28"/>
          <w:szCs w:val="28"/>
        </w:rPr>
      </w:pPr>
      <w:r>
        <w:rPr>
          <w:rFonts w:ascii="仿宋" w:eastAsia="仿宋" w:hAnsi="仿宋" w:cs="宋体" w:hint="eastAsia"/>
          <w:color w:val="000000" w:themeColor="text1"/>
          <w:kern w:val="0"/>
          <w:sz w:val="28"/>
          <w:szCs w:val="28"/>
        </w:rPr>
        <w:t>2019年7月10日19：00</w:t>
      </w:r>
    </w:p>
    <w:p w14:paraId="4B6BE683" w14:textId="057708E9" w:rsidR="001F3384" w:rsidRDefault="001F3384" w:rsidP="00247291">
      <w:pPr>
        <w:widowControl/>
        <w:shd w:val="clear" w:color="auto" w:fill="FFFFFF"/>
        <w:spacing w:before="225" w:line="450" w:lineRule="atLeast"/>
        <w:ind w:firstLine="480"/>
        <w:jc w:val="left"/>
        <w:rPr>
          <w:rFonts w:ascii="仿宋" w:eastAsia="仿宋" w:hAnsi="仿宋" w:cs="宋体"/>
          <w:color w:val="000000" w:themeColor="text1"/>
          <w:kern w:val="0"/>
          <w:sz w:val="28"/>
          <w:szCs w:val="28"/>
        </w:rPr>
      </w:pPr>
    </w:p>
    <w:p w14:paraId="429D738A" w14:textId="2D664502" w:rsidR="001F3384" w:rsidRDefault="001F3384" w:rsidP="00247291">
      <w:pPr>
        <w:widowControl/>
        <w:shd w:val="clear" w:color="auto" w:fill="FFFFFF"/>
        <w:spacing w:before="225" w:line="450" w:lineRule="atLeast"/>
        <w:ind w:firstLine="480"/>
        <w:jc w:val="left"/>
        <w:rPr>
          <w:rFonts w:ascii="仿宋" w:eastAsia="仿宋" w:hAnsi="仿宋" w:cs="宋体"/>
          <w:color w:val="000000" w:themeColor="text1"/>
          <w:kern w:val="0"/>
          <w:sz w:val="28"/>
          <w:szCs w:val="28"/>
        </w:rPr>
      </w:pPr>
    </w:p>
    <w:p w14:paraId="47722954" w14:textId="01A85FEC" w:rsidR="001F3384" w:rsidRDefault="001F3384" w:rsidP="00247291">
      <w:pPr>
        <w:widowControl/>
        <w:shd w:val="clear" w:color="auto" w:fill="FFFFFF"/>
        <w:spacing w:before="225" w:line="450" w:lineRule="atLeast"/>
        <w:ind w:firstLine="480"/>
        <w:jc w:val="left"/>
        <w:rPr>
          <w:rFonts w:ascii="仿宋" w:eastAsia="仿宋" w:hAnsi="仿宋" w:cs="宋体"/>
          <w:color w:val="000000" w:themeColor="text1"/>
          <w:kern w:val="0"/>
          <w:sz w:val="28"/>
          <w:szCs w:val="28"/>
        </w:rPr>
      </w:pPr>
    </w:p>
    <w:p w14:paraId="3374A37F" w14:textId="77777777" w:rsidR="001F3384" w:rsidRPr="00A103C9" w:rsidRDefault="001F3384" w:rsidP="00247291">
      <w:pPr>
        <w:widowControl/>
        <w:shd w:val="clear" w:color="auto" w:fill="FFFFFF"/>
        <w:spacing w:before="225" w:line="450" w:lineRule="atLeast"/>
        <w:ind w:firstLine="480"/>
        <w:jc w:val="left"/>
        <w:rPr>
          <w:rFonts w:ascii="仿宋" w:eastAsia="仿宋" w:hAnsi="仿宋" w:cs="宋体" w:hint="eastAsia"/>
          <w:color w:val="000000" w:themeColor="text1"/>
          <w:kern w:val="0"/>
          <w:sz w:val="28"/>
          <w:szCs w:val="28"/>
        </w:rPr>
      </w:pPr>
    </w:p>
    <w:p w14:paraId="06ECBA8E" w14:textId="77777777" w:rsidR="00F84D99" w:rsidRPr="005D2634" w:rsidRDefault="00F84D99" w:rsidP="00F84D99">
      <w:pPr>
        <w:widowControl/>
        <w:shd w:val="clear" w:color="auto" w:fill="FFFFFF"/>
        <w:spacing w:line="600" w:lineRule="atLeast"/>
        <w:jc w:val="center"/>
        <w:rPr>
          <w:rFonts w:ascii="仿宋" w:eastAsia="仿宋" w:hAnsi="仿宋" w:cs="宋体"/>
          <w:b/>
          <w:bCs/>
          <w:color w:val="000000" w:themeColor="text1"/>
          <w:kern w:val="0"/>
          <w:sz w:val="28"/>
          <w:szCs w:val="28"/>
        </w:rPr>
      </w:pPr>
      <w:r w:rsidRPr="005D2634">
        <w:rPr>
          <w:rFonts w:ascii="仿宋" w:eastAsia="仿宋" w:hAnsi="仿宋" w:cs="宋体"/>
          <w:b/>
          <w:bCs/>
          <w:color w:val="000000" w:themeColor="text1"/>
          <w:kern w:val="0"/>
          <w:sz w:val="28"/>
          <w:szCs w:val="28"/>
        </w:rPr>
        <w:t>卫生部关于印发《健康体检管理暂行规定》的通知</w:t>
      </w:r>
    </w:p>
    <w:p w14:paraId="42BD7B14" w14:textId="77777777" w:rsidR="00F84D99" w:rsidRPr="005D2634" w:rsidRDefault="00F84D99" w:rsidP="00F84D99">
      <w:pPr>
        <w:widowControl/>
        <w:shd w:val="clear" w:color="auto" w:fill="FFFFFF"/>
        <w:spacing w:line="450" w:lineRule="atLeast"/>
        <w:jc w:val="center"/>
        <w:rPr>
          <w:rFonts w:ascii="仿宋" w:eastAsia="仿宋" w:hAnsi="仿宋" w:cs="宋体"/>
          <w:color w:val="000000" w:themeColor="text1"/>
          <w:kern w:val="0"/>
          <w:sz w:val="28"/>
          <w:szCs w:val="28"/>
        </w:rPr>
      </w:pPr>
      <w:r w:rsidRPr="005D2634">
        <w:rPr>
          <w:rFonts w:ascii="仿宋" w:eastAsia="仿宋" w:hAnsi="仿宋" w:cs="宋体"/>
          <w:color w:val="000000" w:themeColor="text1"/>
          <w:kern w:val="0"/>
          <w:sz w:val="28"/>
          <w:szCs w:val="28"/>
        </w:rPr>
        <w:t>中华人民共和国国家卫生和计划生育委员会2009-08-21</w:t>
      </w:r>
      <w:r w:rsidRPr="005D2634">
        <w:rPr>
          <w:rFonts w:ascii="Calibri" w:eastAsia="仿宋" w:hAnsi="Calibri" w:cs="Calibri"/>
          <w:color w:val="000000" w:themeColor="text1"/>
          <w:kern w:val="0"/>
          <w:sz w:val="28"/>
          <w:szCs w:val="28"/>
        </w:rPr>
        <w:t> </w:t>
      </w:r>
    </w:p>
    <w:p w14:paraId="7A278F85" w14:textId="77777777" w:rsidR="00F84D99" w:rsidRPr="005D2634" w:rsidRDefault="00F84D99" w:rsidP="00F84D99">
      <w:pPr>
        <w:widowControl/>
        <w:shd w:val="clear" w:color="auto" w:fill="FFFFFF"/>
        <w:jc w:val="center"/>
        <w:rPr>
          <w:rFonts w:ascii="仿宋" w:eastAsia="仿宋" w:hAnsi="仿宋" w:cs="宋体"/>
          <w:color w:val="000000" w:themeColor="text1"/>
          <w:kern w:val="0"/>
          <w:sz w:val="28"/>
          <w:szCs w:val="28"/>
        </w:rPr>
      </w:pPr>
      <w:r w:rsidRPr="005D2634">
        <w:rPr>
          <w:rFonts w:ascii="仿宋" w:eastAsia="仿宋" w:hAnsi="仿宋" w:cs="宋体" w:hint="eastAsia"/>
          <w:color w:val="000000" w:themeColor="text1"/>
          <w:kern w:val="0"/>
          <w:sz w:val="28"/>
          <w:szCs w:val="28"/>
        </w:rPr>
        <w:t>卫医政发〔2009〕77号</w:t>
      </w:r>
    </w:p>
    <w:p w14:paraId="5AB9D8AD" w14:textId="77777777" w:rsidR="00F84D99" w:rsidRPr="00B363EE" w:rsidRDefault="00F84D99" w:rsidP="00F84D99">
      <w:pPr>
        <w:widowControl/>
        <w:shd w:val="clear" w:color="auto" w:fill="FFFFFF"/>
        <w:spacing w:line="315" w:lineRule="atLeast"/>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各省、自治区、直辖市卫生厅局，新疆生产建设兵团卫生局，部直属有关单位：</w:t>
      </w:r>
    </w:p>
    <w:p w14:paraId="26BA4C53" w14:textId="77777777" w:rsidR="00F84D99" w:rsidRPr="00B363EE" w:rsidRDefault="00F84D99" w:rsidP="00F84D99">
      <w:pPr>
        <w:widowControl/>
        <w:shd w:val="clear" w:color="auto" w:fill="FFFFFF"/>
        <w:spacing w:line="315" w:lineRule="atLeast"/>
        <w:ind w:firstLine="645"/>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为加强健康体检管理，促进健康体检规范有序进行，保护和增进人民群众健康，根据《中华人民共和国执业医师法》、《医疗机构管理条例》和《护士条例》等法律法规，</w:t>
      </w:r>
      <w:r w:rsidRPr="00B363EE">
        <w:rPr>
          <w:rFonts w:ascii="仿宋" w:eastAsia="仿宋" w:hAnsi="仿宋" w:cs="宋体" w:hint="eastAsia"/>
          <w:color w:val="000000" w:themeColor="text1"/>
          <w:kern w:val="0"/>
          <w:sz w:val="28"/>
          <w:szCs w:val="28"/>
        </w:rPr>
        <w:lastRenderedPageBreak/>
        <w:t>我部组织制定了《健康体检管理暂行规定》。现印发给你们，请遵照执行。</w:t>
      </w:r>
    </w:p>
    <w:p w14:paraId="540EE012" w14:textId="77777777" w:rsidR="00F84D99" w:rsidRPr="00B363EE" w:rsidRDefault="00F84D99" w:rsidP="00F84D99">
      <w:pPr>
        <w:widowControl/>
        <w:shd w:val="clear" w:color="auto" w:fill="FFFFFF"/>
        <w:spacing w:line="315" w:lineRule="atLeast"/>
        <w:ind w:firstLine="645"/>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59B6FD29" w14:textId="77777777" w:rsidR="00F84D99" w:rsidRPr="00B363EE" w:rsidRDefault="00F84D99" w:rsidP="00F84D99">
      <w:pPr>
        <w:widowControl/>
        <w:shd w:val="clear" w:color="auto" w:fill="FFFFFF"/>
        <w:spacing w:line="315" w:lineRule="atLeast"/>
        <w:ind w:firstLine="645"/>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5C1AF9F1" w14:textId="77777777" w:rsidR="00F84D99" w:rsidRPr="00B363EE" w:rsidRDefault="00F84D99" w:rsidP="00F84D99">
      <w:pPr>
        <w:widowControl/>
        <w:shd w:val="clear" w:color="auto" w:fill="FFFFFF"/>
        <w:spacing w:line="315" w:lineRule="atLeast"/>
        <w:ind w:firstLine="645"/>
        <w:jc w:val="righ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二○○九年八月五日</w:t>
      </w:r>
    </w:p>
    <w:p w14:paraId="11F3698C" w14:textId="77777777" w:rsidR="00F84D99" w:rsidRPr="00B363EE" w:rsidRDefault="00F84D99" w:rsidP="00F84D99">
      <w:pPr>
        <w:widowControl/>
        <w:shd w:val="clear" w:color="auto" w:fill="FFFFFF"/>
        <w:spacing w:line="315" w:lineRule="atLeast"/>
        <w:ind w:firstLine="645"/>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4224CEEA" w14:textId="77777777" w:rsidR="00F84D99" w:rsidRPr="00B363EE" w:rsidRDefault="00F84D99" w:rsidP="00F84D99">
      <w:pPr>
        <w:widowControl/>
        <w:shd w:val="clear" w:color="auto" w:fill="FFFFFF"/>
        <w:spacing w:line="315" w:lineRule="atLeast"/>
        <w:ind w:firstLine="645"/>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1922C38C" w14:textId="77777777" w:rsidR="00F84D99" w:rsidRPr="00B363EE" w:rsidRDefault="00F84D99" w:rsidP="00F84D99">
      <w:pPr>
        <w:widowControl/>
        <w:shd w:val="clear" w:color="auto" w:fill="FFFFFF"/>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5B4C1051" w14:textId="7DB59E8D" w:rsidR="00F84D99" w:rsidRDefault="00F84D99" w:rsidP="00F84D99">
      <w:pPr>
        <w:widowControl/>
        <w:shd w:val="clear" w:color="auto" w:fill="FFFFFF"/>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3B908DA5" w14:textId="77777777" w:rsidR="005D2634" w:rsidRPr="00B363EE" w:rsidRDefault="005D2634" w:rsidP="00F84D99">
      <w:pPr>
        <w:widowControl/>
        <w:shd w:val="clear" w:color="auto" w:fill="FFFFFF"/>
        <w:jc w:val="left"/>
        <w:rPr>
          <w:rFonts w:ascii="仿宋" w:eastAsia="仿宋" w:hAnsi="仿宋" w:cs="宋体" w:hint="eastAsia"/>
          <w:color w:val="000000" w:themeColor="text1"/>
          <w:kern w:val="0"/>
          <w:sz w:val="28"/>
          <w:szCs w:val="28"/>
        </w:rPr>
      </w:pPr>
    </w:p>
    <w:p w14:paraId="101ACF24" w14:textId="77777777" w:rsidR="00F84D99" w:rsidRPr="00B363EE" w:rsidRDefault="00F84D99" w:rsidP="00F84D99">
      <w:pPr>
        <w:widowControl/>
        <w:shd w:val="clear" w:color="auto" w:fill="FFFFFF"/>
        <w:spacing w:line="315" w:lineRule="atLeast"/>
        <w:jc w:val="center"/>
        <w:rPr>
          <w:rFonts w:ascii="仿宋" w:eastAsia="仿宋" w:hAnsi="仿宋" w:cs="宋体"/>
          <w:color w:val="000000" w:themeColor="text1"/>
          <w:kern w:val="0"/>
          <w:sz w:val="28"/>
          <w:szCs w:val="28"/>
        </w:rPr>
      </w:pPr>
      <w:r w:rsidRPr="00B363EE">
        <w:rPr>
          <w:rFonts w:ascii="仿宋" w:eastAsia="仿宋" w:hAnsi="仿宋" w:cs="宋体" w:hint="eastAsia"/>
          <w:b/>
          <w:bCs/>
          <w:color w:val="000000" w:themeColor="text1"/>
          <w:kern w:val="0"/>
          <w:sz w:val="28"/>
          <w:szCs w:val="28"/>
        </w:rPr>
        <w:t>健康体检管理暂行规定</w:t>
      </w:r>
    </w:p>
    <w:p w14:paraId="6F895824" w14:textId="77777777" w:rsidR="00F84D99" w:rsidRPr="00B363EE" w:rsidRDefault="00F84D99" w:rsidP="00F84D99">
      <w:pPr>
        <w:widowControl/>
        <w:shd w:val="clear" w:color="auto" w:fill="FFFFFF"/>
        <w:spacing w:line="315" w:lineRule="atLeast"/>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p>
    <w:p w14:paraId="03074289" w14:textId="77777777" w:rsidR="00F84D99" w:rsidRPr="00B363EE" w:rsidRDefault="00F84D99" w:rsidP="00F84D99">
      <w:pPr>
        <w:widowControl/>
        <w:shd w:val="clear" w:color="auto" w:fill="FFFFFF"/>
        <w:spacing w:line="315" w:lineRule="atLeast"/>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第一章 总则</w:t>
      </w:r>
    </w:p>
    <w:p w14:paraId="48903326"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第一条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为加强健康体检管理，保障健康体检规范有序进行，根据《中华人民共和国执业医师法》、《医疗机构管理条例》、《护士条例》等法律法规制定本规定。</w:t>
      </w:r>
    </w:p>
    <w:p w14:paraId="5F07072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本规定所称健康体检是指通过医学手段和方法对受检者进行身体检查，了解受检者健康状况、早期发现疾病线索和健康隐患的诊疗行为。</w:t>
      </w:r>
    </w:p>
    <w:p w14:paraId="2BAB6068"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卫生部负责全国健康体检的监督管理。县级以上地方人民政府卫生行政部门负责本行政区域内健康体检的监督管理。</w:t>
      </w:r>
    </w:p>
    <w:p w14:paraId="689E3073" w14:textId="77777777" w:rsidR="00F84D99" w:rsidRPr="00B363EE" w:rsidRDefault="00F84D99" w:rsidP="00F84D99">
      <w:pPr>
        <w:widowControl/>
        <w:shd w:val="clear" w:color="auto" w:fill="FFFFFF"/>
        <w:spacing w:line="315" w:lineRule="atLeast"/>
        <w:ind w:firstLine="640"/>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lastRenderedPageBreak/>
        <w:t>第二章 执业条件和许可</w:t>
      </w:r>
    </w:p>
    <w:p w14:paraId="17B58E3C"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第四条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具备下列条件的医疗机构，可以申请开展健康体检。</w:t>
      </w:r>
    </w:p>
    <w:p w14:paraId="2B1E6133"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（一）具有相对独立的健康体检场所及候检场所，建筑总面积不少于400平方米，每个独立的检查室使用面积不少于6平方米；</w:t>
      </w:r>
    </w:p>
    <w:p w14:paraId="4783AD5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（二）登记的诊疗科目至少包括内科、外科、妇产科、眼科、耳鼻咽喉科、口腔科、医学影像科和医学检验科；</w:t>
      </w:r>
    </w:p>
    <w:p w14:paraId="219E4F02"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（三）至少具有2名具有内科或外科副高以上专业技术职务任职资格的执业医师，每个临床检查科室至少具有1名中级以上专业技术职务任职资格的执业医师；</w:t>
      </w:r>
    </w:p>
    <w:p w14:paraId="5149B620"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（四）至少具有10名注册护士；</w:t>
      </w:r>
    </w:p>
    <w:p w14:paraId="13DCBE86"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（五）具有满足健康体检需要的其他卫生技术人员；</w:t>
      </w:r>
    </w:p>
    <w:p w14:paraId="1685C671"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（六）具有符合开展健康体检要求的仪器设备。</w:t>
      </w:r>
    </w:p>
    <w:p w14:paraId="251A9387" w14:textId="77777777" w:rsidR="00F84D99" w:rsidRPr="00B363EE" w:rsidRDefault="00F84D99" w:rsidP="00F84D99">
      <w:pPr>
        <w:widowControl/>
        <w:shd w:val="clear" w:color="auto" w:fill="FFFFFF"/>
        <w:spacing w:line="315" w:lineRule="atLeast"/>
        <w:ind w:left="-143"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第五条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医疗机构向核发其《医疗机构执业许可证》的卫生行政部门（以下简称登记机关）申请开展健康体检。</w:t>
      </w:r>
    </w:p>
    <w:p w14:paraId="079A578C" w14:textId="77777777" w:rsidR="00F84D99" w:rsidRPr="00B363EE" w:rsidRDefault="00F84D99" w:rsidP="00F84D99">
      <w:pPr>
        <w:widowControl/>
        <w:shd w:val="clear" w:color="auto" w:fill="FFFFFF"/>
        <w:spacing w:line="315" w:lineRule="atLeast"/>
        <w:ind w:left="-143"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第六条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登记机关应当按照第四条规定的条件对申请开展健康体检的医疗机构进行审核和评估，具备条件的允许其开展健康体检，并在《医疗机构执业许可证》副本备注栏中予以登记。</w:t>
      </w:r>
    </w:p>
    <w:p w14:paraId="471D3D7F" w14:textId="77777777" w:rsidR="00F84D99" w:rsidRPr="00B363EE" w:rsidRDefault="00F84D99" w:rsidP="00F84D99">
      <w:pPr>
        <w:widowControl/>
        <w:shd w:val="clear" w:color="auto" w:fill="FFFFFF"/>
        <w:spacing w:line="315" w:lineRule="atLeast"/>
        <w:ind w:firstLine="640"/>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第三章 执业规则</w:t>
      </w:r>
    </w:p>
    <w:p w14:paraId="47CD0E59"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lastRenderedPageBreak/>
        <w:t>第七条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医疗机构根据卫生部制定的《健康体检基本项目目录》制定本单位的《健康体检项目目录》（以下简称《目录》），并按照《目录》开展健康体检。</w:t>
      </w:r>
    </w:p>
    <w:p w14:paraId="20AC44AD"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医疗机构的《目录》应当向登记机关备案；不设床位和床位在99张以下的医疗机构还应向登记机关的上一级卫生行政部门备案。</w:t>
      </w:r>
    </w:p>
    <w:p w14:paraId="0BD35A3F"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第八条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医疗机构应用医疗技术进行健康体检，应当遵守医疗技术临床应用管理有关规定，应用的医疗技术应当与其医疗服务能力相适应。</w:t>
      </w:r>
    </w:p>
    <w:p w14:paraId="4639DB9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医疗机构不得使用尚无明确临床诊疗指南和技术操作规程的医疗技术用于健康体检。</w:t>
      </w:r>
    </w:p>
    <w:p w14:paraId="34AAB668"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第九条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医疗机构开展健康体检应当严格遵守有关规定和规范，采取有效措施保证健康体检的质量。</w:t>
      </w:r>
    </w:p>
    <w:p w14:paraId="1424793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医疗机构应当采取有效措施保证受检者在健康体检中的医疗安全。</w:t>
      </w:r>
    </w:p>
    <w:p w14:paraId="564C019C"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第十一条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医疗机构开展健康体检应当按照有关规定履行对受检者相应的告知义务。</w:t>
      </w:r>
    </w:p>
    <w:p w14:paraId="3CE69F74"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第十二条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医疗机构应当按照《医疗机构临床实验室管理办法》有关规定开展临床实验室检测，严格执行有关操作规程出具检验报告。</w:t>
      </w:r>
    </w:p>
    <w:p w14:paraId="7680008D"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第十三条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各健康体检项目结果应当由负责检查的相应专业执业医师记录并签名。</w:t>
      </w:r>
    </w:p>
    <w:p w14:paraId="27A21224"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lastRenderedPageBreak/>
        <w:t>第十四条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医疗机构应当对完成健康体检的受检者出具健康体检报告。健康体检报告应当包括受检者一般信息、体格检查记录、实验室和医学影像检查报告、阳性体征和异常情况的记录、健康状况描述和有关建议等。</w:t>
      </w:r>
    </w:p>
    <w:p w14:paraId="0F9EBEB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第十五条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健康体检报告应当符合病历书写基本规范。</w:t>
      </w:r>
    </w:p>
    <w:p w14:paraId="5807C2A1"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第十六条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医疗机构应当指定医师审核签署健康体检报告。负责签署健康体检报告的医师应当具有内科或外科副主任医师以上专业技术职务任职资格，经设区的市级以上人民政府卫生行政部门培训并考核合格。</w:t>
      </w:r>
    </w:p>
    <w:p w14:paraId="3CC28B42"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第十七条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医疗机构开展健康体检必须接受设区的市级以上人民政府卫生行政部门组织的质量控制管理。</w:t>
      </w:r>
    </w:p>
    <w:p w14:paraId="0E65249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第十八条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医疗机构应当制定合理的健康体检流程，严格执行有关规定规范，做好医院感染防控和生物安全管理。</w:t>
      </w:r>
    </w:p>
    <w:p w14:paraId="593A795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第十九条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医疗机构开展健康体检不得以赢利为目的对受检者进行重复检查，不得诱导需求。</w:t>
      </w:r>
    </w:p>
    <w:p w14:paraId="334EFF4A"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医疗机构不得以健康体检为名出售药品、保健品、医疗保健器械等。</w:t>
      </w:r>
    </w:p>
    <w:p w14:paraId="78A4822F"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第二十一条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医疗机构应当加强健康体检中的信息管理，确保信息的真实、准确和完整。未经受检者同意，不得擅自散布、泄露受检者的个人信息。</w:t>
      </w:r>
    </w:p>
    <w:p w14:paraId="5A235024"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第二十二条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受检者健康体检信息管理参照门诊病历管理有关规定执行。</w:t>
      </w:r>
    </w:p>
    <w:p w14:paraId="17C653B7" w14:textId="77777777" w:rsidR="00F84D99" w:rsidRPr="00B363EE" w:rsidRDefault="00F84D99" w:rsidP="00F84D99">
      <w:pPr>
        <w:widowControl/>
        <w:shd w:val="clear" w:color="auto" w:fill="FFFFFF"/>
        <w:spacing w:line="315" w:lineRule="atLeast"/>
        <w:ind w:firstLine="640"/>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lastRenderedPageBreak/>
        <w:t>第四章 外出健康体检</w:t>
      </w:r>
    </w:p>
    <w:p w14:paraId="2E8656C4"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第二十三条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外出健康体检是指医疗机构在执业地址以外开展的健康体检。</w:t>
      </w:r>
    </w:p>
    <w:p w14:paraId="72BB7B63"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除本规定的外出健康体检，医疗机构不得在执业地址外开展健康体检。</w:t>
      </w:r>
    </w:p>
    <w:p w14:paraId="1D796B2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第二十四条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医疗机构可以在登记机关管辖区域范围内开展外出健康体检。</w:t>
      </w:r>
    </w:p>
    <w:p w14:paraId="5611212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第二十五条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医疗机构开展外出健康体检前，应当与邀请单位签订健康体检协议书，确定体检时间、地点、受检人数、体检的项目和流程、派出医务人员和设备的基本情况等，并明确协议双方法律责任。</w:t>
      </w:r>
    </w:p>
    <w:p w14:paraId="6A325293"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第二十六条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医疗机构应当于外出健康体检前至少20个工作日向登记机关进行备案，并提交以下备案材料：</w:t>
      </w:r>
    </w:p>
    <w:p w14:paraId="2796B715"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（一）外出健康体检情况说明，包括邀请单位的基本情况、受检者数量、地址和基本情况、体检现场基本情况等；</w:t>
      </w:r>
    </w:p>
    <w:p w14:paraId="5BFA66C3"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（二）双方签订的健康体检协议书；</w:t>
      </w:r>
    </w:p>
    <w:p w14:paraId="30452148"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（三）体检现场标本采集、运送等符合有关条件和要求的书面说明；</w:t>
      </w:r>
    </w:p>
    <w:p w14:paraId="671A83D9"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（四）现场清洁、消毒和检后医疗废物处理方案；</w:t>
      </w:r>
    </w:p>
    <w:p w14:paraId="7F40FA9D"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（五）医疗机构执业许可证副本复印件。</w:t>
      </w:r>
    </w:p>
    <w:p w14:paraId="7ADB509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第二十七条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外出健康体检的场地应当符合本办法第四条第一项要求。进行血液和体液标本采集的房间应当达到</w:t>
      </w:r>
      <w:r w:rsidRPr="00B363EE">
        <w:rPr>
          <w:rFonts w:ascii="仿宋" w:eastAsia="仿宋" w:hAnsi="仿宋" w:cs="宋体" w:hint="eastAsia"/>
          <w:color w:val="000000" w:themeColor="text1"/>
          <w:kern w:val="0"/>
          <w:sz w:val="28"/>
          <w:szCs w:val="28"/>
        </w:rPr>
        <w:lastRenderedPageBreak/>
        <w:t>《医院消毒卫生标准》中规定的Ⅲ类环境，光线充足，保证安静。</w:t>
      </w:r>
    </w:p>
    <w:p w14:paraId="4AB0B9B4"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第二十八条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医疗机构应当按照《目录》开展外出健康体检。外出健康体检进行医学影像学检查和实验室检测必须保证检查质量并满足放射防护和生物安全的管理要求。</w:t>
      </w:r>
    </w:p>
    <w:p w14:paraId="78D1156A" w14:textId="77777777" w:rsidR="00F84D99" w:rsidRPr="00B363EE" w:rsidRDefault="00F84D99" w:rsidP="00F84D99">
      <w:pPr>
        <w:widowControl/>
        <w:shd w:val="clear" w:color="auto" w:fill="FFFFFF"/>
        <w:spacing w:line="315" w:lineRule="atLeast"/>
        <w:ind w:firstLine="640"/>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第五章 监督管理</w:t>
      </w:r>
    </w:p>
    <w:p w14:paraId="082F7A59"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第二十九条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无《医疗机构执业许可证》开展健康体检的，按照《医疗机构管理条例》第四十四条处理。</w:t>
      </w:r>
    </w:p>
    <w:p w14:paraId="20755F1B"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医疗机构未经许可开展健康体检的，按照《医疗机构管理条例》第四十七条处理。</w:t>
      </w:r>
    </w:p>
    <w:p w14:paraId="51CE602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未经备案开展外出健康体检的，视为未变更注册开展诊疗活动，按照《医疗机构管理条例》和《执业医师法》有关条款处理。</w:t>
      </w:r>
    </w:p>
    <w:p w14:paraId="754CA896"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第三十一条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健康体检超出备案的《健康体检项目目录》的，按照《医疗机构管理条例》第四十七条处理。</w:t>
      </w:r>
    </w:p>
    <w:p w14:paraId="18EC8791"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第三十二条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医疗机构出具虚假或者伪造健康体检结果的，按照《医疗机构管理条例》第四十九条处理。</w:t>
      </w:r>
    </w:p>
    <w:p w14:paraId="45198FEE"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第三十三条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开展健康体检引发医疗事故争议的按照《医疗事故处理条例》处理。</w:t>
      </w:r>
    </w:p>
    <w:p w14:paraId="00B37787" w14:textId="77777777" w:rsidR="00F84D99" w:rsidRPr="00B363EE" w:rsidRDefault="00F84D99" w:rsidP="00F84D99">
      <w:pPr>
        <w:widowControl/>
        <w:shd w:val="clear" w:color="auto" w:fill="FFFFFF"/>
        <w:spacing w:line="315" w:lineRule="atLeast"/>
        <w:ind w:firstLine="640"/>
        <w:jc w:val="center"/>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第六章 附则</w:t>
      </w:r>
    </w:p>
    <w:p w14:paraId="7FFD3641"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第三十四条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本规定所称健康体检不包括职业健康检查、从业人员健康体检、入学、入伍、结婚登记等国家规定</w:t>
      </w:r>
      <w:r w:rsidRPr="00B363EE">
        <w:rPr>
          <w:rFonts w:ascii="仿宋" w:eastAsia="仿宋" w:hAnsi="仿宋" w:cs="宋体" w:hint="eastAsia"/>
          <w:color w:val="000000" w:themeColor="text1"/>
          <w:kern w:val="0"/>
          <w:sz w:val="28"/>
          <w:szCs w:val="28"/>
        </w:rPr>
        <w:lastRenderedPageBreak/>
        <w:t>的专项体检、基本公共卫生服务项目提供的健康体检和使用新型农村合作医疗基金为参加新型农村合作医疗农民开展的健康体检以及专项疾病的筛查和普查等。</w:t>
      </w:r>
    </w:p>
    <w:p w14:paraId="30174F01" w14:textId="77777777" w:rsidR="00F84D99" w:rsidRPr="00B363EE" w:rsidRDefault="00F84D99" w:rsidP="00F84D99">
      <w:pPr>
        <w:widowControl/>
        <w:shd w:val="clear" w:color="auto" w:fill="FFFFFF"/>
        <w:spacing w:line="315" w:lineRule="atLeast"/>
        <w:ind w:firstLine="640"/>
        <w:jc w:val="left"/>
        <w:rPr>
          <w:rFonts w:ascii="仿宋" w:eastAsia="仿宋" w:hAnsi="仿宋" w:cs="宋体"/>
          <w:color w:val="000000" w:themeColor="text1"/>
          <w:kern w:val="0"/>
          <w:sz w:val="28"/>
          <w:szCs w:val="28"/>
        </w:rPr>
      </w:pPr>
      <w:r w:rsidRPr="00B363EE">
        <w:rPr>
          <w:rFonts w:ascii="仿宋" w:eastAsia="仿宋" w:hAnsi="仿宋" w:cs="宋体" w:hint="eastAsia"/>
          <w:color w:val="000000" w:themeColor="text1"/>
          <w:kern w:val="0"/>
          <w:sz w:val="28"/>
          <w:szCs w:val="28"/>
        </w:rPr>
        <w:t>第三十五条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已开展健康体检服务的医疗机构，应当在2009年11月30日前完成健康体检服务登记。</w:t>
      </w:r>
    </w:p>
    <w:p w14:paraId="093EB441" w14:textId="77777777" w:rsidR="00F84D99" w:rsidRPr="00B363EE" w:rsidRDefault="00F84D99" w:rsidP="00F84D99">
      <w:pPr>
        <w:widowControl/>
        <w:shd w:val="clear" w:color="auto" w:fill="FFFFFF"/>
        <w:jc w:val="left"/>
        <w:rPr>
          <w:rFonts w:ascii="仿宋" w:eastAsia="仿宋" w:hAnsi="仿宋" w:cs="宋体"/>
          <w:color w:val="000000" w:themeColor="text1"/>
          <w:kern w:val="0"/>
          <w:sz w:val="28"/>
          <w:szCs w:val="28"/>
        </w:rPr>
      </w:pPr>
      <w:r w:rsidRPr="00B363EE">
        <w:rPr>
          <w:rFonts w:ascii="Calibri" w:eastAsia="仿宋" w:hAnsi="Calibri" w:cs="Calibri"/>
          <w:color w:val="000000" w:themeColor="text1"/>
          <w:kern w:val="0"/>
          <w:sz w:val="28"/>
          <w:szCs w:val="28"/>
        </w:rPr>
        <w:t>   </w:t>
      </w:r>
      <w:r w:rsidRPr="00B363EE">
        <w:rPr>
          <w:rFonts w:ascii="仿宋" w:eastAsia="仿宋" w:hAnsi="仿宋" w:cs="黑体" w:hint="eastAsia"/>
          <w:color w:val="000000" w:themeColor="text1"/>
          <w:kern w:val="0"/>
          <w:sz w:val="28"/>
          <w:szCs w:val="28"/>
        </w:rPr>
        <w:t xml:space="preserve"> </w:t>
      </w:r>
      <w:r w:rsidRPr="00B363EE">
        <w:rPr>
          <w:rFonts w:ascii="仿宋" w:eastAsia="仿宋" w:hAnsi="仿宋" w:cs="宋体" w:hint="eastAsia"/>
          <w:color w:val="000000" w:themeColor="text1"/>
          <w:kern w:val="0"/>
          <w:sz w:val="28"/>
          <w:szCs w:val="28"/>
        </w:rPr>
        <w:t>第三十六条</w:t>
      </w:r>
      <w:r w:rsidRPr="00B363EE">
        <w:rPr>
          <w:rFonts w:ascii="Calibri" w:eastAsia="仿宋" w:hAnsi="Calibri" w:cs="Calibri"/>
          <w:color w:val="000000" w:themeColor="text1"/>
          <w:kern w:val="0"/>
          <w:sz w:val="28"/>
          <w:szCs w:val="28"/>
        </w:rPr>
        <w:t>  </w:t>
      </w:r>
      <w:r w:rsidRPr="00B363EE">
        <w:rPr>
          <w:rFonts w:ascii="仿宋" w:eastAsia="仿宋" w:hAnsi="仿宋" w:cs="宋体" w:hint="eastAsia"/>
          <w:color w:val="000000" w:themeColor="text1"/>
          <w:kern w:val="0"/>
          <w:sz w:val="28"/>
          <w:szCs w:val="28"/>
        </w:rPr>
        <w:t>本办法自2009年9月1日起施行。</w:t>
      </w:r>
    </w:p>
    <w:p w14:paraId="4595E1C0" w14:textId="77777777" w:rsidR="00F84D99" w:rsidRPr="00B363EE" w:rsidRDefault="00F84D99" w:rsidP="00F84D99">
      <w:pPr>
        <w:rPr>
          <w:rFonts w:ascii="仿宋" w:eastAsia="仿宋" w:hAnsi="仿宋"/>
          <w:color w:val="000000" w:themeColor="text1"/>
          <w:sz w:val="28"/>
          <w:szCs w:val="28"/>
        </w:rPr>
      </w:pPr>
    </w:p>
    <w:p w14:paraId="3C29843C" w14:textId="77777777" w:rsidR="00773FE9" w:rsidRPr="00F84D99" w:rsidRDefault="00773FE9" w:rsidP="00E7225C">
      <w:pPr>
        <w:ind w:firstLineChars="200" w:firstLine="560"/>
        <w:rPr>
          <w:rFonts w:ascii="仿宋" w:eastAsia="仿宋" w:hAnsi="仿宋"/>
          <w:color w:val="000000" w:themeColor="text1"/>
          <w:sz w:val="28"/>
          <w:szCs w:val="28"/>
        </w:rPr>
      </w:pPr>
    </w:p>
    <w:p w14:paraId="79FB05A7" w14:textId="0628A8FE" w:rsidR="00A81C4D" w:rsidRPr="00B363EE" w:rsidRDefault="00A81C4D">
      <w:pPr>
        <w:rPr>
          <w:rFonts w:ascii="仿宋" w:eastAsia="仿宋" w:hAnsi="仿宋"/>
          <w:color w:val="000000" w:themeColor="text1"/>
          <w:sz w:val="28"/>
          <w:szCs w:val="28"/>
        </w:rPr>
      </w:pPr>
    </w:p>
    <w:sectPr w:rsidR="00A81C4D" w:rsidRPr="00B363EE" w:rsidSect="00827680">
      <w:pgSz w:w="11906" w:h="16838"/>
      <w:pgMar w:top="1440" w:right="2268" w:bottom="1440" w:left="226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2D4D1" w14:textId="77777777" w:rsidR="000B58D7" w:rsidRDefault="000B58D7" w:rsidP="00E7225C">
      <w:r>
        <w:separator/>
      </w:r>
    </w:p>
  </w:endnote>
  <w:endnote w:type="continuationSeparator" w:id="0">
    <w:p w14:paraId="68C702A3" w14:textId="77777777" w:rsidR="000B58D7" w:rsidRDefault="000B58D7" w:rsidP="00E7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D24F6" w14:textId="77777777" w:rsidR="000B58D7" w:rsidRDefault="000B58D7" w:rsidP="00E7225C">
      <w:r>
        <w:separator/>
      </w:r>
    </w:p>
  </w:footnote>
  <w:footnote w:type="continuationSeparator" w:id="0">
    <w:p w14:paraId="4373D732" w14:textId="77777777" w:rsidR="000B58D7" w:rsidRDefault="000B58D7" w:rsidP="00E72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30"/>
    <w:rsid w:val="000B58D7"/>
    <w:rsid w:val="0010536F"/>
    <w:rsid w:val="00146F30"/>
    <w:rsid w:val="001560E2"/>
    <w:rsid w:val="001F3384"/>
    <w:rsid w:val="00247291"/>
    <w:rsid w:val="003329B5"/>
    <w:rsid w:val="00371AC1"/>
    <w:rsid w:val="00381AC0"/>
    <w:rsid w:val="004E59CA"/>
    <w:rsid w:val="005D2634"/>
    <w:rsid w:val="006817E2"/>
    <w:rsid w:val="00763D7C"/>
    <w:rsid w:val="00773FE9"/>
    <w:rsid w:val="00787054"/>
    <w:rsid w:val="00827680"/>
    <w:rsid w:val="00A103C9"/>
    <w:rsid w:val="00A27BAE"/>
    <w:rsid w:val="00A81C4D"/>
    <w:rsid w:val="00B363EE"/>
    <w:rsid w:val="00B526E5"/>
    <w:rsid w:val="00B87502"/>
    <w:rsid w:val="00BB0CF8"/>
    <w:rsid w:val="00BB5508"/>
    <w:rsid w:val="00BB70D7"/>
    <w:rsid w:val="00C03D06"/>
    <w:rsid w:val="00E43EC6"/>
    <w:rsid w:val="00E7225C"/>
    <w:rsid w:val="00E935FB"/>
    <w:rsid w:val="00F16B0A"/>
    <w:rsid w:val="00F84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B746E"/>
  <w15:chartTrackingRefBased/>
  <w15:docId w15:val="{2AD2125E-0ED6-45A7-88CD-29F7ECCD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5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2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225C"/>
    <w:rPr>
      <w:rFonts w:ascii="Times New Roman" w:eastAsia="宋体" w:hAnsi="Times New Roman" w:cs="Times New Roman"/>
      <w:sz w:val="18"/>
      <w:szCs w:val="18"/>
    </w:rPr>
  </w:style>
  <w:style w:type="paragraph" w:styleId="a5">
    <w:name w:val="footer"/>
    <w:basedOn w:val="a"/>
    <w:link w:val="a6"/>
    <w:uiPriority w:val="99"/>
    <w:unhideWhenUsed/>
    <w:rsid w:val="00E7225C"/>
    <w:pPr>
      <w:tabs>
        <w:tab w:val="center" w:pos="4153"/>
        <w:tab w:val="right" w:pos="8306"/>
      </w:tabs>
      <w:snapToGrid w:val="0"/>
      <w:jc w:val="left"/>
    </w:pPr>
    <w:rPr>
      <w:sz w:val="18"/>
      <w:szCs w:val="18"/>
    </w:rPr>
  </w:style>
  <w:style w:type="character" w:customStyle="1" w:styleId="a6">
    <w:name w:val="页脚 字符"/>
    <w:basedOn w:val="a0"/>
    <w:link w:val="a5"/>
    <w:uiPriority w:val="99"/>
    <w:rsid w:val="00E7225C"/>
    <w:rPr>
      <w:rFonts w:ascii="Times New Roman" w:eastAsia="宋体" w:hAnsi="Times New Roman" w:cs="Times New Roman"/>
      <w:sz w:val="18"/>
      <w:szCs w:val="18"/>
    </w:rPr>
  </w:style>
  <w:style w:type="paragraph" w:styleId="a7">
    <w:name w:val="Normal (Web)"/>
    <w:basedOn w:val="a"/>
    <w:uiPriority w:val="99"/>
    <w:unhideWhenUsed/>
    <w:qFormat/>
    <w:rsid w:val="00E7225C"/>
    <w:pPr>
      <w:jc w:val="left"/>
    </w:pPr>
    <w:rPr>
      <w:rFonts w:asciiTheme="minorHAnsi" w:eastAsiaTheme="minorEastAsia" w:hAnsiTheme="minorHAnsi"/>
      <w:kern w:val="0"/>
      <w:sz w:val="24"/>
    </w:rPr>
  </w:style>
  <w:style w:type="character" w:styleId="a8">
    <w:name w:val="Strong"/>
    <w:basedOn w:val="a0"/>
    <w:qFormat/>
    <w:rsid w:val="00105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yuan</dc:creator>
  <cp:keywords/>
  <dc:description/>
  <cp:lastModifiedBy>yang yuan</cp:lastModifiedBy>
  <cp:revision>53</cp:revision>
  <dcterms:created xsi:type="dcterms:W3CDTF">2019-07-10T09:43:00Z</dcterms:created>
  <dcterms:modified xsi:type="dcterms:W3CDTF">2019-07-10T11:41:00Z</dcterms:modified>
</cp:coreProperties>
</file>